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44" w:rsidRDefault="00EE1644" w:rsidP="00EE1644">
      <w:pPr>
        <w:jc w:val="center"/>
        <w:rPr>
          <w:rFonts w:ascii="Arial" w:hAnsi="Arial" w:cs="Arial"/>
          <w:b/>
          <w:sz w:val="28"/>
          <w:szCs w:val="28"/>
        </w:rPr>
      </w:pPr>
      <w:bookmarkStart w:id="0" w:name="_GoBack"/>
      <w:bookmarkEnd w:id="0"/>
      <w:r>
        <w:rPr>
          <w:rFonts w:ascii="Arial" w:hAnsi="Arial" w:cs="Arial"/>
          <w:b/>
          <w:sz w:val="28"/>
          <w:szCs w:val="28"/>
        </w:rPr>
        <w:t>INFORMATIVO DE RELATORÍ</w:t>
      </w:r>
      <w:r w:rsidRPr="00F34400">
        <w:rPr>
          <w:rFonts w:ascii="Arial" w:hAnsi="Arial" w:cs="Arial"/>
          <w:b/>
          <w:sz w:val="28"/>
          <w:szCs w:val="28"/>
        </w:rPr>
        <w:t>A</w:t>
      </w:r>
    </w:p>
    <w:p w:rsidR="00EE1644" w:rsidRPr="00F34400" w:rsidRDefault="004017E5" w:rsidP="00EE1644">
      <w:pPr>
        <w:jc w:val="center"/>
        <w:rPr>
          <w:rFonts w:ascii="Arial" w:hAnsi="Arial" w:cs="Arial"/>
          <w:b/>
          <w:sz w:val="28"/>
          <w:szCs w:val="28"/>
        </w:rPr>
      </w:pPr>
      <w:r>
        <w:rPr>
          <w:rFonts w:ascii="Arial" w:hAnsi="Arial" w:cs="Arial"/>
          <w:b/>
          <w:sz w:val="28"/>
          <w:szCs w:val="28"/>
        </w:rPr>
        <w:t>NOV</w:t>
      </w:r>
      <w:r w:rsidR="00E4308D">
        <w:rPr>
          <w:rFonts w:ascii="Arial" w:hAnsi="Arial" w:cs="Arial"/>
          <w:b/>
          <w:sz w:val="28"/>
          <w:szCs w:val="28"/>
        </w:rPr>
        <w:t>IEMBRE</w:t>
      </w:r>
      <w:r w:rsidR="00EE1644">
        <w:rPr>
          <w:rFonts w:ascii="Arial" w:hAnsi="Arial" w:cs="Arial"/>
          <w:b/>
          <w:sz w:val="28"/>
          <w:szCs w:val="28"/>
        </w:rPr>
        <w:t xml:space="preserve">  2015</w:t>
      </w:r>
    </w:p>
    <w:tbl>
      <w:tblPr>
        <w:tblStyle w:val="Tabladecuadrcula4-nfasis51"/>
        <w:tblW w:w="0" w:type="auto"/>
        <w:tblLook w:val="04A0" w:firstRow="1" w:lastRow="0" w:firstColumn="1" w:lastColumn="0" w:noHBand="0" w:noVBand="1"/>
      </w:tblPr>
      <w:tblGrid>
        <w:gridCol w:w="8828"/>
      </w:tblGrid>
      <w:tr w:rsidR="00EE1644" w:rsidRPr="00F34400" w:rsidTr="00C43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EE1644" w:rsidRPr="00F34400" w:rsidRDefault="00B525AF" w:rsidP="00C438B2">
            <w:pPr>
              <w:jc w:val="center"/>
              <w:rPr>
                <w:rFonts w:ascii="Arial" w:hAnsi="Arial" w:cs="Arial"/>
                <w:b w:val="0"/>
                <w:sz w:val="28"/>
                <w:szCs w:val="28"/>
              </w:rPr>
            </w:pPr>
            <w:r>
              <w:rPr>
                <w:rFonts w:ascii="Arial" w:hAnsi="Arial" w:cs="Arial"/>
                <w:b w:val="0"/>
                <w:color w:val="auto"/>
                <w:sz w:val="28"/>
                <w:szCs w:val="28"/>
              </w:rPr>
              <w:t xml:space="preserve">TRIBUNAL </w:t>
            </w:r>
            <w:r w:rsidR="00EE1644" w:rsidRPr="003E0618">
              <w:rPr>
                <w:rFonts w:ascii="Arial" w:hAnsi="Arial" w:cs="Arial"/>
                <w:b w:val="0"/>
                <w:color w:val="auto"/>
                <w:sz w:val="28"/>
                <w:szCs w:val="28"/>
              </w:rPr>
              <w:t xml:space="preserve"> ADMINISTRATIVO DEL HUILA</w:t>
            </w:r>
          </w:p>
        </w:tc>
      </w:tr>
      <w:tr w:rsidR="00EE1644" w:rsidRPr="00F34400" w:rsidTr="00C4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EE1644" w:rsidRPr="00F34400" w:rsidRDefault="004017E5" w:rsidP="00C438B2">
            <w:pPr>
              <w:jc w:val="center"/>
              <w:rPr>
                <w:rFonts w:ascii="Arial" w:hAnsi="Arial" w:cs="Arial"/>
                <w:b w:val="0"/>
                <w:sz w:val="28"/>
                <w:szCs w:val="28"/>
              </w:rPr>
            </w:pPr>
            <w:r>
              <w:rPr>
                <w:rFonts w:ascii="Arial" w:hAnsi="Arial" w:cs="Arial"/>
                <w:b w:val="0"/>
                <w:sz w:val="28"/>
                <w:szCs w:val="28"/>
              </w:rPr>
              <w:t>NOV</w:t>
            </w:r>
            <w:r w:rsidR="00E4308D">
              <w:rPr>
                <w:rFonts w:ascii="Arial" w:hAnsi="Arial" w:cs="Arial"/>
                <w:b w:val="0"/>
                <w:sz w:val="28"/>
                <w:szCs w:val="28"/>
              </w:rPr>
              <w:t>IEMBRE</w:t>
            </w:r>
            <w:r w:rsidR="00EE1644">
              <w:rPr>
                <w:rFonts w:ascii="Arial" w:hAnsi="Arial" w:cs="Arial"/>
                <w:b w:val="0"/>
                <w:sz w:val="28"/>
                <w:szCs w:val="28"/>
              </w:rPr>
              <w:t xml:space="preserve"> 2015</w:t>
            </w:r>
          </w:p>
        </w:tc>
      </w:tr>
    </w:tbl>
    <w:p w:rsidR="00EE1644" w:rsidRPr="00F34400" w:rsidRDefault="00EE1644" w:rsidP="00EE1644">
      <w:pPr>
        <w:rPr>
          <w:rFonts w:ascii="Arial" w:hAnsi="Arial" w:cs="Arial"/>
          <w:b/>
        </w:rPr>
      </w:pPr>
    </w:p>
    <w:tbl>
      <w:tblPr>
        <w:tblStyle w:val="Tabladecuadrcula4-nfasis51"/>
        <w:tblW w:w="0" w:type="auto"/>
        <w:tblLayout w:type="fixed"/>
        <w:tblLook w:val="04A0" w:firstRow="1" w:lastRow="0" w:firstColumn="1" w:lastColumn="0" w:noHBand="0" w:noVBand="1"/>
      </w:tblPr>
      <w:tblGrid>
        <w:gridCol w:w="2235"/>
        <w:gridCol w:w="3118"/>
        <w:gridCol w:w="2155"/>
        <w:gridCol w:w="1320"/>
      </w:tblGrid>
      <w:tr w:rsidR="00EE1644" w:rsidRPr="003E0618" w:rsidTr="00F625CC">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EE1644" w:rsidRPr="003E0618" w:rsidRDefault="00EE1644" w:rsidP="00C438B2">
            <w:pPr>
              <w:jc w:val="center"/>
              <w:rPr>
                <w:rFonts w:ascii="Arial" w:hAnsi="Arial" w:cs="Arial"/>
                <w:color w:val="auto"/>
              </w:rPr>
            </w:pPr>
            <w:r w:rsidRPr="003E0618">
              <w:rPr>
                <w:rFonts w:ascii="Arial" w:hAnsi="Arial" w:cs="Arial"/>
                <w:color w:val="auto"/>
              </w:rPr>
              <w:t>FUENTE</w:t>
            </w:r>
          </w:p>
        </w:tc>
        <w:tc>
          <w:tcPr>
            <w:tcW w:w="3118" w:type="dxa"/>
            <w:tcBorders>
              <w:top w:val="single" w:sz="4" w:space="0" w:color="auto"/>
              <w:left w:val="single" w:sz="4" w:space="0" w:color="auto"/>
              <w:bottom w:val="single" w:sz="4" w:space="0" w:color="auto"/>
              <w:right w:val="single" w:sz="4" w:space="0" w:color="auto"/>
            </w:tcBorders>
          </w:tcPr>
          <w:p w:rsidR="00EE1644" w:rsidRPr="003E0618" w:rsidRDefault="00EE1644" w:rsidP="00C438B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SÍNTESIS</w:t>
            </w:r>
          </w:p>
        </w:tc>
        <w:tc>
          <w:tcPr>
            <w:tcW w:w="2155" w:type="dxa"/>
            <w:tcBorders>
              <w:top w:val="single" w:sz="4" w:space="0" w:color="auto"/>
              <w:left w:val="single" w:sz="4" w:space="0" w:color="auto"/>
              <w:bottom w:val="single" w:sz="4" w:space="0" w:color="auto"/>
              <w:right w:val="single" w:sz="4" w:space="0" w:color="auto"/>
            </w:tcBorders>
          </w:tcPr>
          <w:p w:rsidR="00EE1644" w:rsidRDefault="00EE1644" w:rsidP="00C438B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NORMA/</w:t>
            </w:r>
          </w:p>
          <w:p w:rsidR="00EE1644" w:rsidRPr="003E0618" w:rsidRDefault="00EE1644" w:rsidP="00C438B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PROVIDENCIA</w:t>
            </w:r>
          </w:p>
        </w:tc>
        <w:tc>
          <w:tcPr>
            <w:tcW w:w="1320" w:type="dxa"/>
            <w:tcBorders>
              <w:top w:val="single" w:sz="4" w:space="0" w:color="auto"/>
              <w:left w:val="single" w:sz="4" w:space="0" w:color="auto"/>
              <w:bottom w:val="single" w:sz="4" w:space="0" w:color="auto"/>
              <w:right w:val="single" w:sz="4" w:space="0" w:color="auto"/>
            </w:tcBorders>
          </w:tcPr>
          <w:p w:rsidR="00EE1644" w:rsidRPr="003E0618" w:rsidRDefault="00EE1644" w:rsidP="00C438B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FECHA</w:t>
            </w:r>
          </w:p>
        </w:tc>
      </w:tr>
      <w:tr w:rsidR="00EE1644" w:rsidRPr="00527C67" w:rsidTr="00F6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EE1644" w:rsidRPr="00F625CC" w:rsidRDefault="00EE1644" w:rsidP="00C438B2">
            <w:pPr>
              <w:jc w:val="center"/>
              <w:rPr>
                <w:rFonts w:ascii="Arial" w:hAnsi="Arial" w:cs="Arial"/>
                <w:sz w:val="20"/>
                <w:szCs w:val="20"/>
              </w:rPr>
            </w:pPr>
          </w:p>
          <w:p w:rsidR="00B1091A" w:rsidRPr="00F625CC" w:rsidRDefault="00B1091A" w:rsidP="00C438B2">
            <w:pPr>
              <w:jc w:val="center"/>
              <w:rPr>
                <w:rFonts w:ascii="Arial" w:hAnsi="Arial" w:cs="Arial"/>
                <w:sz w:val="20"/>
                <w:szCs w:val="20"/>
              </w:rPr>
            </w:pPr>
            <w:r w:rsidRPr="00F625CC">
              <w:rPr>
                <w:rFonts w:ascii="Arial" w:hAnsi="Arial" w:cs="Arial"/>
                <w:sz w:val="20"/>
                <w:szCs w:val="20"/>
              </w:rPr>
              <w:t xml:space="preserve">Acuerdo del Consejo Superior de la Judicatura </w:t>
            </w:r>
          </w:p>
        </w:tc>
        <w:tc>
          <w:tcPr>
            <w:tcW w:w="3118" w:type="dxa"/>
            <w:tcBorders>
              <w:top w:val="single" w:sz="4" w:space="0" w:color="auto"/>
            </w:tcBorders>
          </w:tcPr>
          <w:p w:rsidR="00F76691" w:rsidRPr="00F625CC" w:rsidRDefault="00B1091A" w:rsidP="00F625CC">
            <w:pPr>
              <w:pStyle w:val="Sinespaciado"/>
              <w:jc w:val="both"/>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20"/>
                <w:szCs w:val="20"/>
              </w:rPr>
            </w:pPr>
            <w:r w:rsidRPr="00F625CC">
              <w:rPr>
                <w:rFonts w:ascii="Arial" w:hAnsi="Arial" w:cs="Arial"/>
                <w:sz w:val="20"/>
                <w:szCs w:val="20"/>
              </w:rPr>
              <w:t>Vigentes disposiciones p</w:t>
            </w:r>
            <w:r w:rsidR="00422436" w:rsidRPr="00F625CC">
              <w:rPr>
                <w:rFonts w:ascii="Arial" w:hAnsi="Arial" w:cs="Arial"/>
                <w:sz w:val="20"/>
                <w:szCs w:val="20"/>
              </w:rPr>
              <w:t>ara luchar contra la congestión- La Sala Administrativa del Consejo Superior de la Judicatura informó que, desde el 29 de octubre, se trasladan y transforman unos despachos judiciales y cargos en todo el territorio nacional</w:t>
            </w:r>
            <w:r w:rsidR="00422436" w:rsidRPr="00F625CC">
              <w:rPr>
                <w:rStyle w:val="apple-converted-space"/>
                <w:rFonts w:ascii="Arial" w:hAnsi="Arial" w:cs="Arial"/>
                <w:sz w:val="20"/>
                <w:szCs w:val="20"/>
              </w:rPr>
              <w:t>.</w:t>
            </w:r>
          </w:p>
          <w:p w:rsidR="00F625CC" w:rsidRPr="00F625CC" w:rsidRDefault="00F625CC" w:rsidP="00F625CC">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55" w:type="dxa"/>
            <w:tcBorders>
              <w:top w:val="single" w:sz="4" w:space="0" w:color="auto"/>
            </w:tcBorders>
          </w:tcPr>
          <w:p w:rsidR="00F625CC" w:rsidRPr="00F625CC" w:rsidRDefault="00F625CC"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582F6E"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4017E5" w:rsidRPr="00F625CC" w:rsidRDefault="004017E5"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Acuerdo PSAA15-10402</w:t>
            </w:r>
          </w:p>
          <w:p w:rsidR="00582F6E" w:rsidRPr="00F625CC" w:rsidRDefault="004017E5"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25CC">
              <w:rPr>
                <w:rStyle w:val="Textoennegrita"/>
                <w:rFonts w:ascii="Arial" w:hAnsi="Arial" w:cs="Arial"/>
                <w:b w:val="0"/>
                <w:sz w:val="20"/>
                <w:szCs w:val="20"/>
                <w:shd w:val="clear" w:color="auto" w:fill="FFFFFF"/>
              </w:rPr>
              <w:t>Oct. 29/15</w:t>
            </w:r>
          </w:p>
        </w:tc>
        <w:tc>
          <w:tcPr>
            <w:tcW w:w="1320" w:type="dxa"/>
            <w:tcBorders>
              <w:top w:val="single" w:sz="4" w:space="0" w:color="auto"/>
            </w:tcBorders>
          </w:tcPr>
          <w:p w:rsidR="00F625CC" w:rsidRPr="00F625CC" w:rsidRDefault="00F625CC"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4017E5"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30-Oct.2015</w:t>
            </w:r>
          </w:p>
        </w:tc>
      </w:tr>
      <w:tr w:rsidR="00EE1644" w:rsidRPr="00527C67" w:rsidTr="00F625CC">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F625CC" w:rsidRPr="00F625CC" w:rsidRDefault="00F625CC" w:rsidP="00E151BA">
            <w:pPr>
              <w:jc w:val="center"/>
              <w:rPr>
                <w:rStyle w:val="Textoennegrita"/>
                <w:rFonts w:ascii="Arial" w:hAnsi="Arial" w:cs="Arial"/>
                <w:b/>
                <w:sz w:val="20"/>
                <w:szCs w:val="18"/>
                <w:shd w:val="clear" w:color="auto" w:fill="FFFFFF"/>
              </w:rPr>
            </w:pPr>
          </w:p>
          <w:p w:rsidR="00C926A4" w:rsidRPr="00F625CC" w:rsidRDefault="00E151BA" w:rsidP="00E151BA">
            <w:pPr>
              <w:jc w:val="center"/>
              <w:rPr>
                <w:rFonts w:ascii="Arial" w:hAnsi="Arial" w:cs="Arial"/>
                <w:b w:val="0"/>
                <w:sz w:val="20"/>
                <w:szCs w:val="20"/>
              </w:rPr>
            </w:pPr>
            <w:r w:rsidRPr="00F625CC">
              <w:rPr>
                <w:rStyle w:val="Textoennegrita"/>
                <w:rFonts w:ascii="Arial" w:hAnsi="Arial" w:cs="Arial"/>
                <w:b/>
                <w:sz w:val="20"/>
                <w:szCs w:val="18"/>
                <w:shd w:val="clear" w:color="auto" w:fill="FFFFFF"/>
              </w:rPr>
              <w:t>Corte Suprema de Justicia Sala Laboral</w:t>
            </w:r>
          </w:p>
        </w:tc>
        <w:tc>
          <w:tcPr>
            <w:tcW w:w="3118" w:type="dxa"/>
            <w:tcBorders>
              <w:top w:val="single" w:sz="4" w:space="0" w:color="auto"/>
            </w:tcBorders>
          </w:tcPr>
          <w:p w:rsidR="00F76691" w:rsidRPr="00F625CC" w:rsidRDefault="00E151BA" w:rsidP="00F625CC">
            <w:pPr>
              <w:pStyle w:val="Sinespaciado"/>
              <w:jc w:val="both"/>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b w:val="0"/>
                <w:bCs w:val="0"/>
                <w:sz w:val="20"/>
              </w:rPr>
            </w:pPr>
            <w:r w:rsidRPr="00F625CC">
              <w:rPr>
                <w:rStyle w:val="Textoennegrita"/>
                <w:rFonts w:ascii="Arial" w:hAnsi="Arial" w:cs="Arial"/>
                <w:b w:val="0"/>
                <w:bCs w:val="0"/>
                <w:sz w:val="20"/>
              </w:rPr>
              <w:t>Cuando se presente omisión por parte del empleador en el pago de las cotizaciones al Sistema de Seguridad Social en Pensiones (SSSP) y esto impida el acceso a las prestaciones y si además medió incumplimiento de la administradora en el deber legal que tiene de cobro, es a esta última a quien le incumbe el pago de las mismas a los afiliados o a sus beneficiarios.</w:t>
            </w:r>
          </w:p>
          <w:p w:rsidR="00F625CC" w:rsidRPr="00F625CC" w:rsidRDefault="00F625CC" w:rsidP="00F625CC">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5" w:type="dxa"/>
            <w:tcBorders>
              <w:top w:val="single" w:sz="4" w:space="0" w:color="auto"/>
            </w:tcBorders>
          </w:tcPr>
          <w:p w:rsidR="00F625CC" w:rsidRPr="00F625CC" w:rsidRDefault="00F625CC"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1644" w:rsidRPr="00F625CC" w:rsidRDefault="004017E5"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E151BA" w:rsidRPr="00F625CC" w:rsidRDefault="00E151BA" w:rsidP="00F625CC">
            <w:pPr>
              <w:jc w:val="center"/>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sz w:val="20"/>
                <w:szCs w:val="20"/>
                <w:shd w:val="clear" w:color="auto" w:fill="FFFFFF"/>
              </w:rPr>
            </w:pPr>
            <w:r w:rsidRPr="00F625CC">
              <w:rPr>
                <w:rStyle w:val="Textoennegrita"/>
                <w:rFonts w:ascii="Arial" w:hAnsi="Arial" w:cs="Arial"/>
                <w:sz w:val="20"/>
                <w:szCs w:val="20"/>
                <w:shd w:val="clear" w:color="auto" w:fill="FFFFFF"/>
              </w:rPr>
              <w:t>SL-13276 (47686)</w:t>
            </w:r>
          </w:p>
          <w:p w:rsidR="006464E0" w:rsidRPr="00F625CC" w:rsidRDefault="00E151BA"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Sep.30/2015</w:t>
            </w:r>
          </w:p>
        </w:tc>
        <w:tc>
          <w:tcPr>
            <w:tcW w:w="1320" w:type="dxa"/>
            <w:tcBorders>
              <w:top w:val="single" w:sz="4" w:space="0" w:color="auto"/>
            </w:tcBorders>
          </w:tcPr>
          <w:p w:rsidR="00F625CC" w:rsidRPr="00F625CC" w:rsidRDefault="00F625CC" w:rsidP="00E151B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151BA" w:rsidRPr="00F625CC" w:rsidRDefault="00E151BA" w:rsidP="00E151B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29.Oct.2015</w:t>
            </w:r>
          </w:p>
        </w:tc>
      </w:tr>
      <w:tr w:rsidR="00EE1644" w:rsidRPr="00527C67" w:rsidTr="00F6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EE1644" w:rsidRPr="00F625CC" w:rsidRDefault="00EE1644" w:rsidP="00C438B2">
            <w:pPr>
              <w:rPr>
                <w:rFonts w:ascii="Arial" w:hAnsi="Arial" w:cs="Arial"/>
                <w:sz w:val="20"/>
                <w:szCs w:val="20"/>
              </w:rPr>
            </w:pPr>
          </w:p>
          <w:p w:rsidR="00EE1644" w:rsidRPr="00F625CC" w:rsidRDefault="006754A6" w:rsidP="00C438B2">
            <w:pPr>
              <w:rPr>
                <w:rFonts w:ascii="Arial" w:hAnsi="Arial" w:cs="Arial"/>
                <w:sz w:val="20"/>
                <w:szCs w:val="20"/>
              </w:rPr>
            </w:pPr>
            <w:r w:rsidRPr="00F625CC">
              <w:rPr>
                <w:rFonts w:ascii="Arial" w:hAnsi="Arial" w:cs="Arial"/>
                <w:sz w:val="20"/>
                <w:szCs w:val="20"/>
              </w:rPr>
              <w:t xml:space="preserve">Consejo de Estado </w:t>
            </w:r>
          </w:p>
        </w:tc>
        <w:tc>
          <w:tcPr>
            <w:tcW w:w="3118" w:type="dxa"/>
            <w:tcBorders>
              <w:top w:val="single" w:sz="4" w:space="0" w:color="auto"/>
            </w:tcBorders>
          </w:tcPr>
          <w:p w:rsidR="006D690F" w:rsidRPr="00F625CC" w:rsidRDefault="006754A6" w:rsidP="00F625CC">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Tribunal Administrativo de Chocó incurrió en vulneración del derecho al debido proceso del Ministerio de Defensa Nacional – Policía Nacional, por omitir la declaración de cosa juzgada respecto de un demandante que ya había obtenido sentencia favorable a la pretensión de indemnización de perjuicios por hechos acaecidos en la toma de Bojayá.</w:t>
            </w:r>
          </w:p>
          <w:p w:rsidR="00EE1644" w:rsidRPr="00F625CC" w:rsidRDefault="00EE1644" w:rsidP="00F625CC">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55" w:type="dxa"/>
            <w:tcBorders>
              <w:top w:val="single" w:sz="4" w:space="0" w:color="auto"/>
            </w:tcBorders>
          </w:tcPr>
          <w:p w:rsidR="00F625CC" w:rsidRPr="00F625CC" w:rsidRDefault="00F625CC"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EE1644"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EE1644" w:rsidRPr="00F625CC" w:rsidRDefault="006754A6"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2015-1116-01</w:t>
            </w:r>
          </w:p>
        </w:tc>
        <w:tc>
          <w:tcPr>
            <w:tcW w:w="1320" w:type="dxa"/>
            <w:tcBorders>
              <w:top w:val="single" w:sz="4" w:space="0" w:color="auto"/>
            </w:tcBorders>
          </w:tcPr>
          <w:p w:rsidR="00F625CC" w:rsidRPr="00F625CC" w:rsidRDefault="00F625CC" w:rsidP="006754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6754A6" w:rsidP="006754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03-Sep.2015</w:t>
            </w:r>
          </w:p>
        </w:tc>
      </w:tr>
      <w:tr w:rsidR="00EE1644" w:rsidRPr="00527C67" w:rsidTr="00F625CC">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3E3EA4" w:rsidRPr="00F625CC" w:rsidRDefault="003E3EA4" w:rsidP="006D690F">
            <w:pPr>
              <w:jc w:val="center"/>
              <w:rPr>
                <w:rFonts w:ascii="Arial" w:hAnsi="Arial" w:cs="Arial"/>
                <w:sz w:val="20"/>
                <w:szCs w:val="20"/>
              </w:rPr>
            </w:pPr>
          </w:p>
          <w:p w:rsidR="00EE1644" w:rsidRPr="00F625CC" w:rsidRDefault="003E3EA4" w:rsidP="003E3EA4">
            <w:pPr>
              <w:rPr>
                <w:rFonts w:ascii="Arial" w:hAnsi="Arial" w:cs="Arial"/>
                <w:sz w:val="20"/>
                <w:szCs w:val="20"/>
              </w:rPr>
            </w:pPr>
            <w:r w:rsidRPr="00F625CC">
              <w:rPr>
                <w:rFonts w:ascii="Arial" w:hAnsi="Arial" w:cs="Arial"/>
                <w:sz w:val="20"/>
                <w:szCs w:val="20"/>
              </w:rPr>
              <w:t>Consejo de Estado</w:t>
            </w:r>
          </w:p>
        </w:tc>
        <w:tc>
          <w:tcPr>
            <w:tcW w:w="3118" w:type="dxa"/>
            <w:tcBorders>
              <w:top w:val="single" w:sz="4" w:space="0" w:color="auto"/>
            </w:tcBorders>
          </w:tcPr>
          <w:p w:rsidR="00EE1644" w:rsidRPr="00F625CC" w:rsidRDefault="006754A6" w:rsidP="00F625CC">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Factor de atribución de competencia en procesos ejecutivos bajo la Ley 1437 de 2011 -Código de Procedimiento Administrativo y de lo Contencioso Administrativo-. Vocación de doble instancia: “Los procesos de ejecución que se inician ante la jurisdicción contencioso administrativa con ocasión a un título ejecutivo de los que trata el artículo 297 del Código de Procedimiento Administrativo y de lo Contencioso Administrativo, tienen vocación de doble instancia, sin excepción alguna (…)</w:t>
            </w:r>
          </w:p>
          <w:p w:rsidR="00F76691" w:rsidRPr="00F625CC" w:rsidRDefault="00F76691" w:rsidP="00F625CC">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5" w:type="dxa"/>
            <w:tcBorders>
              <w:top w:val="single" w:sz="4" w:space="0" w:color="auto"/>
            </w:tcBorders>
          </w:tcPr>
          <w:p w:rsidR="00F625CC" w:rsidRPr="00F625CC" w:rsidRDefault="00F625CC"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1644" w:rsidRPr="00F625CC" w:rsidRDefault="006D690F"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6D690F" w:rsidRPr="00F625CC" w:rsidRDefault="003E3EA4"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Auto 2013-224-01</w:t>
            </w:r>
          </w:p>
        </w:tc>
        <w:tc>
          <w:tcPr>
            <w:tcW w:w="1320" w:type="dxa"/>
            <w:tcBorders>
              <w:top w:val="single" w:sz="4" w:space="0" w:color="auto"/>
            </w:tcBorders>
          </w:tcPr>
          <w:p w:rsidR="00F625CC" w:rsidRPr="00F625CC" w:rsidRDefault="00F625CC"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1644" w:rsidRPr="00F625CC" w:rsidRDefault="003E3EA4"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07- Oct.2014</w:t>
            </w:r>
          </w:p>
        </w:tc>
      </w:tr>
      <w:tr w:rsidR="00EE1644" w:rsidRPr="00527C67" w:rsidTr="00F6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4017E5" w:rsidRPr="00F625CC" w:rsidRDefault="004017E5" w:rsidP="004017E5">
            <w:pPr>
              <w:jc w:val="center"/>
              <w:rPr>
                <w:rFonts w:ascii="Arial" w:hAnsi="Arial" w:cs="Arial"/>
                <w:b w:val="0"/>
                <w:bCs w:val="0"/>
                <w:sz w:val="20"/>
                <w:szCs w:val="20"/>
              </w:rPr>
            </w:pPr>
          </w:p>
          <w:p w:rsidR="006D690F" w:rsidRPr="00F625CC" w:rsidRDefault="00F76691" w:rsidP="00C438B2">
            <w:pPr>
              <w:jc w:val="center"/>
              <w:rPr>
                <w:rFonts w:ascii="Arial" w:hAnsi="Arial" w:cs="Arial"/>
                <w:sz w:val="20"/>
                <w:szCs w:val="20"/>
              </w:rPr>
            </w:pPr>
            <w:r w:rsidRPr="00F625CC">
              <w:rPr>
                <w:rFonts w:ascii="Arial" w:hAnsi="Arial" w:cs="Arial"/>
                <w:sz w:val="20"/>
                <w:szCs w:val="20"/>
              </w:rPr>
              <w:t xml:space="preserve">Corte constitucional </w:t>
            </w:r>
          </w:p>
        </w:tc>
        <w:tc>
          <w:tcPr>
            <w:tcW w:w="3118" w:type="dxa"/>
            <w:tcBorders>
              <w:top w:val="single" w:sz="4" w:space="0" w:color="auto"/>
            </w:tcBorders>
          </w:tcPr>
          <w:p w:rsidR="00EE1644" w:rsidRPr="00F625CC" w:rsidRDefault="00F76691" w:rsidP="00F625CC">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La Sala Primera de Revisión estudió dos acciones de tutela presentadas por personas en situación de desplazamiento y vulnerabilidad, a quienes la Unidad para la Atención y Reparación Integral a las Víctimas les vulneró sus derechos fundamentales al reconocimiento de la condición de desplazado, al mínimo vital y a la vida en condiciones dignas por no inscribirlos en el Registro Único de Víctimas aduciendo que los hechos victimizantes no fueron perpetuados por grupos armados organizados al margen de la Ley, sino por delincuencia común.</w:t>
            </w:r>
          </w:p>
          <w:p w:rsidR="00F625CC" w:rsidRPr="00F625CC" w:rsidRDefault="00F625CC" w:rsidP="00F625CC">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55" w:type="dxa"/>
            <w:tcBorders>
              <w:top w:val="single" w:sz="4" w:space="0" w:color="auto"/>
            </w:tcBorders>
          </w:tcPr>
          <w:p w:rsidR="00F625CC" w:rsidRPr="00F625CC" w:rsidRDefault="00F625CC"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017E5" w:rsidRPr="00F625CC" w:rsidRDefault="004017E5"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6D690F" w:rsidRPr="00F625CC" w:rsidRDefault="00F76691"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T-556 de 2015</w:t>
            </w:r>
          </w:p>
        </w:tc>
        <w:tc>
          <w:tcPr>
            <w:tcW w:w="1320" w:type="dxa"/>
            <w:tcBorders>
              <w:top w:val="single" w:sz="4" w:space="0" w:color="auto"/>
            </w:tcBorders>
          </w:tcPr>
          <w:p w:rsidR="00F625CC" w:rsidRPr="00F625CC" w:rsidRDefault="00F625CC"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F76691"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30-Oct.2015</w:t>
            </w:r>
          </w:p>
        </w:tc>
      </w:tr>
      <w:tr w:rsidR="00EE1644" w:rsidRPr="00527C67" w:rsidTr="00F625CC">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F625CC" w:rsidRPr="00F625CC" w:rsidRDefault="00F625CC" w:rsidP="00C438B2">
            <w:pPr>
              <w:jc w:val="center"/>
              <w:rPr>
                <w:rFonts w:ascii="Arial" w:hAnsi="Arial" w:cs="Arial"/>
                <w:sz w:val="20"/>
                <w:szCs w:val="20"/>
              </w:rPr>
            </w:pPr>
          </w:p>
          <w:p w:rsidR="00EE1644" w:rsidRPr="00F625CC" w:rsidRDefault="00525ABC" w:rsidP="00C438B2">
            <w:pPr>
              <w:jc w:val="center"/>
              <w:rPr>
                <w:rFonts w:ascii="Arial" w:hAnsi="Arial" w:cs="Arial"/>
                <w:sz w:val="20"/>
                <w:szCs w:val="20"/>
              </w:rPr>
            </w:pPr>
            <w:r w:rsidRPr="00F625CC">
              <w:rPr>
                <w:rFonts w:ascii="Arial" w:hAnsi="Arial" w:cs="Arial"/>
                <w:sz w:val="20"/>
                <w:szCs w:val="20"/>
              </w:rPr>
              <w:t xml:space="preserve">Ámbito Jurídico </w:t>
            </w:r>
          </w:p>
        </w:tc>
        <w:tc>
          <w:tcPr>
            <w:tcW w:w="3118" w:type="dxa"/>
            <w:tcBorders>
              <w:top w:val="single" w:sz="4" w:space="0" w:color="auto"/>
            </w:tcBorders>
          </w:tcPr>
          <w:p w:rsidR="00F625CC" w:rsidRPr="00C161D0" w:rsidRDefault="00C161D0" w:rsidP="00C161D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61D0">
              <w:rPr>
                <w:rFonts w:ascii="Arial" w:hAnsi="Arial" w:cs="Arial"/>
                <w:sz w:val="20"/>
                <w:szCs w:val="20"/>
                <w:shd w:val="clear" w:color="auto" w:fill="FFFFFF"/>
              </w:rPr>
              <w:t>Nuevos beneficios para familiares de miembros de la fuerza pública fallecidos en servicio</w:t>
            </w:r>
            <w:r>
              <w:rPr>
                <w:rFonts w:ascii="Arial" w:hAnsi="Arial" w:cs="Arial"/>
                <w:sz w:val="20"/>
                <w:szCs w:val="20"/>
                <w:shd w:val="clear" w:color="auto" w:fill="FFFFFF"/>
              </w:rPr>
              <w:t>.</w:t>
            </w:r>
          </w:p>
        </w:tc>
        <w:tc>
          <w:tcPr>
            <w:tcW w:w="2155" w:type="dxa"/>
            <w:tcBorders>
              <w:top w:val="single" w:sz="4" w:space="0" w:color="auto"/>
            </w:tcBorders>
          </w:tcPr>
          <w:p w:rsidR="00F625CC" w:rsidRPr="00F625CC" w:rsidRDefault="00F625CC"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017E5" w:rsidRPr="00F625CC" w:rsidRDefault="004017E5"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EE1644" w:rsidRPr="00F625CC" w:rsidRDefault="00525ABC"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_tradnl"/>
              </w:rPr>
            </w:pPr>
            <w:r w:rsidRPr="00F625CC">
              <w:rPr>
                <w:rStyle w:val="Textoennegrita"/>
                <w:rFonts w:ascii="Arial" w:hAnsi="Arial" w:cs="Arial"/>
                <w:b w:val="0"/>
                <w:sz w:val="20"/>
                <w:szCs w:val="20"/>
                <w:shd w:val="clear" w:color="auto" w:fill="FFFFFF"/>
              </w:rPr>
              <w:t>Decreto 2092 del 23 de octubre de 2015</w:t>
            </w:r>
          </w:p>
        </w:tc>
        <w:tc>
          <w:tcPr>
            <w:tcW w:w="1320" w:type="dxa"/>
            <w:tcBorders>
              <w:top w:val="single" w:sz="4" w:space="0" w:color="auto"/>
            </w:tcBorders>
          </w:tcPr>
          <w:p w:rsidR="00F625CC" w:rsidRPr="00F625CC" w:rsidRDefault="00F625CC"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1644" w:rsidRPr="00F625CC" w:rsidRDefault="00525ABC"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28-Oct.2015</w:t>
            </w:r>
          </w:p>
        </w:tc>
      </w:tr>
      <w:tr w:rsidR="00EE1644" w:rsidRPr="00527C67" w:rsidTr="00F6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tcPr>
          <w:p w:rsidR="00F625CC" w:rsidRPr="00F625CC" w:rsidRDefault="00F625CC" w:rsidP="00C438B2">
            <w:pPr>
              <w:jc w:val="center"/>
              <w:rPr>
                <w:rFonts w:ascii="Arial" w:hAnsi="Arial" w:cs="Arial"/>
                <w:sz w:val="20"/>
                <w:szCs w:val="20"/>
              </w:rPr>
            </w:pPr>
          </w:p>
          <w:p w:rsidR="00EE1644" w:rsidRPr="00F625CC" w:rsidRDefault="002C7F0E" w:rsidP="00C438B2">
            <w:pPr>
              <w:jc w:val="center"/>
              <w:rPr>
                <w:rFonts w:ascii="Arial" w:hAnsi="Arial" w:cs="Arial"/>
                <w:sz w:val="20"/>
                <w:szCs w:val="20"/>
              </w:rPr>
            </w:pPr>
            <w:r w:rsidRPr="00F625CC">
              <w:rPr>
                <w:rFonts w:ascii="Arial" w:hAnsi="Arial" w:cs="Arial"/>
                <w:sz w:val="20"/>
                <w:szCs w:val="20"/>
              </w:rPr>
              <w:t>Ámbito Jurídico</w:t>
            </w:r>
          </w:p>
        </w:tc>
        <w:tc>
          <w:tcPr>
            <w:tcW w:w="3118" w:type="dxa"/>
            <w:tcBorders>
              <w:top w:val="single" w:sz="4" w:space="0" w:color="auto"/>
              <w:bottom w:val="single" w:sz="4" w:space="0" w:color="auto"/>
            </w:tcBorders>
          </w:tcPr>
          <w:p w:rsidR="00EE1644" w:rsidRPr="00F625CC" w:rsidRDefault="00525ABC" w:rsidP="00F625CC">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El Ministerio de Salud y Protección Social</w:t>
            </w:r>
            <w:r w:rsidRPr="00F625CC">
              <w:rPr>
                <w:rStyle w:val="apple-converted-space"/>
                <w:rFonts w:ascii="Arial" w:hAnsi="Arial" w:cs="Arial"/>
                <w:sz w:val="20"/>
                <w:szCs w:val="20"/>
              </w:rPr>
              <w:t> </w:t>
            </w:r>
            <w:r w:rsidR="00C161D0">
              <w:rPr>
                <w:rStyle w:val="Textoennegrita"/>
                <w:rFonts w:ascii="Arial" w:hAnsi="Arial" w:cs="Arial"/>
                <w:b w:val="0"/>
                <w:bCs w:val="0"/>
                <w:sz w:val="20"/>
                <w:szCs w:val="20"/>
              </w:rPr>
              <w:t xml:space="preserve">precisó cuáles </w:t>
            </w:r>
            <w:r w:rsidR="00C161D0" w:rsidRPr="00C161D0">
              <w:rPr>
                <w:rStyle w:val="Textoennegrita"/>
                <w:rFonts w:ascii="Arial" w:hAnsi="Arial" w:cs="Arial"/>
                <w:b w:val="0"/>
                <w:bCs w:val="0"/>
                <w:sz w:val="20"/>
                <w:szCs w:val="20"/>
              </w:rPr>
              <w:t xml:space="preserve">son </w:t>
            </w:r>
            <w:r w:rsidR="00C161D0" w:rsidRPr="00C161D0">
              <w:rPr>
                <w:rFonts w:ascii="Arial" w:hAnsi="Arial" w:cs="Arial"/>
                <w:sz w:val="20"/>
                <w:szCs w:val="20"/>
                <w:shd w:val="clear" w:color="auto" w:fill="FFFFFF"/>
              </w:rPr>
              <w:t>las obligaciones de las EPS que reciben a usuarios reasignados</w:t>
            </w:r>
            <w:r w:rsidR="00C161D0">
              <w:rPr>
                <w:rFonts w:ascii="Arial" w:hAnsi="Arial" w:cs="Arial"/>
                <w:sz w:val="20"/>
                <w:szCs w:val="20"/>
                <w:shd w:val="clear" w:color="auto" w:fill="FFFFFF"/>
              </w:rPr>
              <w:t>.</w:t>
            </w:r>
          </w:p>
          <w:p w:rsidR="00F625CC" w:rsidRPr="00F625CC" w:rsidRDefault="00F625CC" w:rsidP="00F625CC">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55" w:type="dxa"/>
            <w:tcBorders>
              <w:top w:val="single" w:sz="4" w:space="0" w:color="auto"/>
              <w:bottom w:val="single" w:sz="4" w:space="0" w:color="auto"/>
            </w:tcBorders>
          </w:tcPr>
          <w:p w:rsidR="00F625CC" w:rsidRPr="00F625CC" w:rsidRDefault="00F625CC"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017E5" w:rsidRPr="00F625CC" w:rsidRDefault="004017E5"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525ABC" w:rsidRPr="00F625CC" w:rsidRDefault="00525ABC"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shd w:val="clear" w:color="auto" w:fill="FFFFFF"/>
              </w:rPr>
              <w:t>Decreto 2089 del 23- octubre de 2015</w:t>
            </w:r>
          </w:p>
          <w:p w:rsidR="00EE1644" w:rsidRPr="00F625CC" w:rsidRDefault="00EE1644" w:rsidP="00F625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p>
        </w:tc>
        <w:tc>
          <w:tcPr>
            <w:tcW w:w="1320" w:type="dxa"/>
            <w:tcBorders>
              <w:top w:val="single" w:sz="4" w:space="0" w:color="auto"/>
              <w:bottom w:val="single" w:sz="4" w:space="0" w:color="auto"/>
            </w:tcBorders>
          </w:tcPr>
          <w:p w:rsidR="00F625CC" w:rsidRPr="00F625CC" w:rsidRDefault="00F625CC"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1644" w:rsidRPr="00F625CC" w:rsidRDefault="00525ABC"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25CC">
              <w:rPr>
                <w:rFonts w:ascii="Arial" w:hAnsi="Arial" w:cs="Arial"/>
                <w:sz w:val="20"/>
                <w:szCs w:val="20"/>
              </w:rPr>
              <w:t>29-Oct.2015</w:t>
            </w:r>
          </w:p>
        </w:tc>
      </w:tr>
      <w:tr w:rsidR="00E151BA" w:rsidRPr="00527C67" w:rsidTr="00F625CC">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F625CC" w:rsidRPr="00F625CC" w:rsidRDefault="00F625CC" w:rsidP="00D45E70">
            <w:pPr>
              <w:jc w:val="center"/>
              <w:rPr>
                <w:rFonts w:ascii="Arial" w:hAnsi="Arial" w:cs="Arial"/>
                <w:sz w:val="20"/>
                <w:szCs w:val="20"/>
              </w:rPr>
            </w:pPr>
          </w:p>
          <w:p w:rsidR="00E151BA" w:rsidRPr="00F625CC" w:rsidRDefault="00E151BA" w:rsidP="00D45E70">
            <w:pPr>
              <w:jc w:val="center"/>
              <w:rPr>
                <w:rFonts w:ascii="Arial" w:hAnsi="Arial" w:cs="Arial"/>
                <w:sz w:val="20"/>
                <w:szCs w:val="20"/>
              </w:rPr>
            </w:pPr>
            <w:r w:rsidRPr="00F625CC">
              <w:rPr>
                <w:rFonts w:ascii="Arial" w:hAnsi="Arial" w:cs="Arial"/>
                <w:sz w:val="20"/>
                <w:szCs w:val="20"/>
              </w:rPr>
              <w:t xml:space="preserve">Ámbito Jurídico </w:t>
            </w:r>
          </w:p>
        </w:tc>
        <w:tc>
          <w:tcPr>
            <w:tcW w:w="3118" w:type="dxa"/>
            <w:tcBorders>
              <w:top w:val="single" w:sz="4" w:space="0" w:color="auto"/>
            </w:tcBorders>
          </w:tcPr>
          <w:p w:rsidR="00E151BA" w:rsidRPr="00C161D0" w:rsidRDefault="00C161D0" w:rsidP="00C161D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61D0">
              <w:rPr>
                <w:rFonts w:ascii="Arial" w:hAnsi="Arial" w:cs="Arial"/>
                <w:sz w:val="20"/>
                <w:szCs w:val="20"/>
                <w:shd w:val="clear" w:color="auto" w:fill="FFFFFF"/>
              </w:rPr>
              <w:t>Corrección de liquidación pensional calculada incorrectamente puede ser demandada en cualquier tiempo</w:t>
            </w:r>
            <w:r>
              <w:rPr>
                <w:rFonts w:ascii="Arial" w:hAnsi="Arial" w:cs="Arial"/>
                <w:sz w:val="20"/>
                <w:szCs w:val="20"/>
                <w:shd w:val="clear" w:color="auto" w:fill="FFFFFF"/>
              </w:rPr>
              <w:t>.</w:t>
            </w:r>
          </w:p>
        </w:tc>
        <w:tc>
          <w:tcPr>
            <w:tcW w:w="2155" w:type="dxa"/>
            <w:tcBorders>
              <w:top w:val="single" w:sz="4" w:space="0" w:color="auto"/>
            </w:tcBorders>
          </w:tcPr>
          <w:p w:rsidR="00F625CC" w:rsidRPr="00F625CC" w:rsidRDefault="00F625CC"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151BA" w:rsidRPr="00F625CC" w:rsidRDefault="00E151BA"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Radicación</w:t>
            </w:r>
          </w:p>
          <w:p w:rsidR="00E151BA" w:rsidRPr="00F625CC" w:rsidRDefault="00E151BA" w:rsidP="00F625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shd w:val="clear" w:color="auto" w:fill="FFFFFF"/>
              </w:rPr>
              <w:t>SU-567 Sep. 3/2015</w:t>
            </w:r>
          </w:p>
        </w:tc>
        <w:tc>
          <w:tcPr>
            <w:tcW w:w="1320" w:type="dxa"/>
            <w:tcBorders>
              <w:top w:val="single" w:sz="4" w:space="0" w:color="auto"/>
            </w:tcBorders>
          </w:tcPr>
          <w:p w:rsidR="00F625CC" w:rsidRPr="00F625CC" w:rsidRDefault="00F625CC"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151BA" w:rsidRPr="00F625CC" w:rsidRDefault="00E151BA" w:rsidP="00C43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25CC">
              <w:rPr>
                <w:rFonts w:ascii="Arial" w:hAnsi="Arial" w:cs="Arial"/>
                <w:sz w:val="20"/>
                <w:szCs w:val="20"/>
              </w:rPr>
              <w:t>30-Oct.2015</w:t>
            </w:r>
          </w:p>
        </w:tc>
      </w:tr>
      <w:tr w:rsidR="00E151BA" w:rsidRPr="00527C67" w:rsidTr="00F6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E151BA" w:rsidRPr="003E3EA4" w:rsidRDefault="00E151BA" w:rsidP="00D45E70">
            <w:pPr>
              <w:jc w:val="center"/>
              <w:rPr>
                <w:rFonts w:ascii="Arial" w:hAnsi="Arial" w:cs="Arial"/>
                <w:sz w:val="20"/>
                <w:szCs w:val="20"/>
              </w:rPr>
            </w:pPr>
          </w:p>
        </w:tc>
        <w:tc>
          <w:tcPr>
            <w:tcW w:w="3118" w:type="dxa"/>
            <w:tcBorders>
              <w:top w:val="single" w:sz="4" w:space="0" w:color="auto"/>
            </w:tcBorders>
          </w:tcPr>
          <w:p w:rsidR="00E151BA" w:rsidRDefault="00E151BA" w:rsidP="00E151BA">
            <w:pPr>
              <w:pStyle w:val="NormalWeb"/>
              <w:shd w:val="clear" w:color="auto" w:fill="FFFFFF"/>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18"/>
                <w:szCs w:val="18"/>
              </w:rPr>
            </w:pPr>
          </w:p>
        </w:tc>
        <w:tc>
          <w:tcPr>
            <w:tcW w:w="2155" w:type="dxa"/>
            <w:tcBorders>
              <w:top w:val="single" w:sz="4" w:space="0" w:color="auto"/>
            </w:tcBorders>
          </w:tcPr>
          <w:p w:rsidR="00E151BA" w:rsidRPr="003E3EA4" w:rsidRDefault="00E151BA" w:rsidP="004017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20" w:type="dxa"/>
            <w:tcBorders>
              <w:top w:val="single" w:sz="4" w:space="0" w:color="auto"/>
            </w:tcBorders>
          </w:tcPr>
          <w:p w:rsidR="00E151BA" w:rsidRDefault="00E151BA" w:rsidP="00C43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EE1644" w:rsidRDefault="00EE1644" w:rsidP="00EE1644"/>
    <w:p w:rsidR="001A6356" w:rsidRDefault="001A6356"/>
    <w:sectPr w:rsidR="001A6356" w:rsidSect="00EF3765">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44"/>
    <w:rsid w:val="0018469F"/>
    <w:rsid w:val="001A6356"/>
    <w:rsid w:val="002C7F0E"/>
    <w:rsid w:val="003E3EA4"/>
    <w:rsid w:val="004017E5"/>
    <w:rsid w:val="00422436"/>
    <w:rsid w:val="004C1933"/>
    <w:rsid w:val="004E1197"/>
    <w:rsid w:val="00510BBD"/>
    <w:rsid w:val="00525ABC"/>
    <w:rsid w:val="00536053"/>
    <w:rsid w:val="00556008"/>
    <w:rsid w:val="00582F6E"/>
    <w:rsid w:val="006464E0"/>
    <w:rsid w:val="006754A6"/>
    <w:rsid w:val="006D690F"/>
    <w:rsid w:val="007318DC"/>
    <w:rsid w:val="00857404"/>
    <w:rsid w:val="00A24DF3"/>
    <w:rsid w:val="00A94EF9"/>
    <w:rsid w:val="00AB5AD7"/>
    <w:rsid w:val="00B1091A"/>
    <w:rsid w:val="00B525AF"/>
    <w:rsid w:val="00C161D0"/>
    <w:rsid w:val="00C926A4"/>
    <w:rsid w:val="00D840AA"/>
    <w:rsid w:val="00E151BA"/>
    <w:rsid w:val="00E4308D"/>
    <w:rsid w:val="00EE1644"/>
    <w:rsid w:val="00F625CC"/>
    <w:rsid w:val="00F766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44"/>
  </w:style>
  <w:style w:type="paragraph" w:styleId="Ttulo2">
    <w:name w:val="heading 2"/>
    <w:basedOn w:val="Normal"/>
    <w:next w:val="Normal"/>
    <w:link w:val="Ttulo2Car"/>
    <w:qFormat/>
    <w:rsid w:val="00EE1644"/>
    <w:pPr>
      <w:keepNext/>
      <w:widowControl w:val="0"/>
      <w:suppressAutoHyphens/>
      <w:overflowPunct w:val="0"/>
      <w:autoSpaceDE w:val="0"/>
      <w:autoSpaceDN w:val="0"/>
      <w:adjustRightInd w:val="0"/>
      <w:spacing w:after="0" w:line="240" w:lineRule="auto"/>
      <w:jc w:val="both"/>
      <w:textAlignment w:val="baseline"/>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1644"/>
    <w:rPr>
      <w:rFonts w:ascii="Arial" w:eastAsia="Times New Roman" w:hAnsi="Arial" w:cs="Times New Roman"/>
      <w:sz w:val="24"/>
      <w:szCs w:val="20"/>
      <w:lang w:val="es-ES_tradnl" w:eastAsia="es-ES"/>
    </w:rPr>
  </w:style>
  <w:style w:type="table" w:customStyle="1" w:styleId="Tabladecuadrcula4-nfasis51">
    <w:name w:val="Tabla de cuadrícula 4 - Énfasis 51"/>
    <w:basedOn w:val="Tablanormal"/>
    <w:uiPriority w:val="49"/>
    <w:rsid w:val="00EE164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fasis">
    <w:name w:val="Emphasis"/>
    <w:qFormat/>
    <w:rsid w:val="00857404"/>
    <w:rPr>
      <w:i/>
      <w:iCs/>
    </w:rPr>
  </w:style>
  <w:style w:type="character" w:customStyle="1" w:styleId="apple-converted-space">
    <w:name w:val="apple-converted-space"/>
    <w:rsid w:val="00857404"/>
  </w:style>
  <w:style w:type="character" w:styleId="Textoennegrita">
    <w:name w:val="Strong"/>
    <w:basedOn w:val="Fuentedeprrafopredeter"/>
    <w:uiPriority w:val="22"/>
    <w:qFormat/>
    <w:rsid w:val="004017E5"/>
    <w:rPr>
      <w:b/>
      <w:bCs/>
    </w:rPr>
  </w:style>
  <w:style w:type="paragraph" w:styleId="NormalWeb">
    <w:name w:val="Normal (Web)"/>
    <w:basedOn w:val="Normal"/>
    <w:uiPriority w:val="99"/>
    <w:semiHidden/>
    <w:unhideWhenUsed/>
    <w:rsid w:val="00E151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625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44"/>
  </w:style>
  <w:style w:type="paragraph" w:styleId="Ttulo2">
    <w:name w:val="heading 2"/>
    <w:basedOn w:val="Normal"/>
    <w:next w:val="Normal"/>
    <w:link w:val="Ttulo2Car"/>
    <w:qFormat/>
    <w:rsid w:val="00EE1644"/>
    <w:pPr>
      <w:keepNext/>
      <w:widowControl w:val="0"/>
      <w:suppressAutoHyphens/>
      <w:overflowPunct w:val="0"/>
      <w:autoSpaceDE w:val="0"/>
      <w:autoSpaceDN w:val="0"/>
      <w:adjustRightInd w:val="0"/>
      <w:spacing w:after="0" w:line="240" w:lineRule="auto"/>
      <w:jc w:val="both"/>
      <w:textAlignment w:val="baseline"/>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1644"/>
    <w:rPr>
      <w:rFonts w:ascii="Arial" w:eastAsia="Times New Roman" w:hAnsi="Arial" w:cs="Times New Roman"/>
      <w:sz w:val="24"/>
      <w:szCs w:val="20"/>
      <w:lang w:val="es-ES_tradnl" w:eastAsia="es-ES"/>
    </w:rPr>
  </w:style>
  <w:style w:type="table" w:customStyle="1" w:styleId="Tabladecuadrcula4-nfasis51">
    <w:name w:val="Tabla de cuadrícula 4 - Énfasis 51"/>
    <w:basedOn w:val="Tablanormal"/>
    <w:uiPriority w:val="49"/>
    <w:rsid w:val="00EE164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fasis">
    <w:name w:val="Emphasis"/>
    <w:qFormat/>
    <w:rsid w:val="00857404"/>
    <w:rPr>
      <w:i/>
      <w:iCs/>
    </w:rPr>
  </w:style>
  <w:style w:type="character" w:customStyle="1" w:styleId="apple-converted-space">
    <w:name w:val="apple-converted-space"/>
    <w:rsid w:val="00857404"/>
  </w:style>
  <w:style w:type="character" w:styleId="Textoennegrita">
    <w:name w:val="Strong"/>
    <w:basedOn w:val="Fuentedeprrafopredeter"/>
    <w:uiPriority w:val="22"/>
    <w:qFormat/>
    <w:rsid w:val="004017E5"/>
    <w:rPr>
      <w:b/>
      <w:bCs/>
    </w:rPr>
  </w:style>
  <w:style w:type="paragraph" w:styleId="NormalWeb">
    <w:name w:val="Normal (Web)"/>
    <w:basedOn w:val="Normal"/>
    <w:uiPriority w:val="99"/>
    <w:semiHidden/>
    <w:unhideWhenUsed/>
    <w:rsid w:val="00E151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62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Piedad Vasquez Borrero</dc:creator>
  <cp:keywords/>
  <dc:description/>
  <cp:lastModifiedBy>Eliana Alejandra Cangrejo Rodriguez</cp:lastModifiedBy>
  <cp:revision>13</cp:revision>
  <dcterms:created xsi:type="dcterms:W3CDTF">2015-10-06T16:47:00Z</dcterms:created>
  <dcterms:modified xsi:type="dcterms:W3CDTF">2016-01-25T21:19:00Z</dcterms:modified>
</cp:coreProperties>
</file>